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120" w:rsidRDefault="004C4A11">
      <w:r>
        <w:t xml:space="preserve">Math </w:t>
      </w:r>
      <w:r w:rsidR="008C396B">
        <w:t>2350</w:t>
      </w:r>
      <w:bookmarkStart w:id="0" w:name="_GoBack"/>
      <w:bookmarkEnd w:id="0"/>
      <w:r>
        <w:t>:  Stats</w:t>
      </w:r>
    </w:p>
    <w:p w:rsidR="004C4A11" w:rsidRDefault="004C4A11">
      <w:pPr>
        <w:pBdr>
          <w:bottom w:val="single" w:sz="6" w:space="1" w:color="auto"/>
        </w:pBdr>
      </w:pPr>
      <w:r>
        <w:t xml:space="preserve">Lab </w:t>
      </w:r>
      <w:r w:rsidR="00911B1F">
        <w:t>Chapter 10</w:t>
      </w:r>
      <w:r w:rsidR="002A33CF">
        <w:tab/>
      </w:r>
      <w:r w:rsidR="002A33CF">
        <w:tab/>
      </w:r>
      <w:r w:rsidR="002A33CF">
        <w:tab/>
      </w:r>
      <w:r w:rsidR="002A33CF">
        <w:tab/>
      </w:r>
      <w:r w:rsidR="002A33CF">
        <w:tab/>
      </w:r>
      <w:r w:rsidR="002A33CF">
        <w:tab/>
        <w:t>name:</w:t>
      </w:r>
    </w:p>
    <w:p w:rsidR="004C4A11" w:rsidRDefault="004C4A11">
      <w:r>
        <w:t xml:space="preserve">We’ll use the “Debt and Taxes” tab in the </w:t>
      </w:r>
      <w:r w:rsidR="00F560DE">
        <w:t xml:space="preserve">Chapter 10 Stats Lab </w:t>
      </w:r>
      <w:r>
        <w:t>Excel Workbook</w:t>
      </w:r>
    </w:p>
    <w:p w:rsidR="004C4A11" w:rsidRDefault="004C4A11">
      <w:r>
        <w:t>The Economic Data Runs from 1946 (1</w:t>
      </w:r>
      <w:r w:rsidRPr="004C4A11">
        <w:rPr>
          <w:vertAlign w:val="superscript"/>
        </w:rPr>
        <w:t>st</w:t>
      </w:r>
      <w:r>
        <w:t xml:space="preserve"> year post WW2) to 201</w:t>
      </w:r>
      <w:r w:rsidR="00F560DE">
        <w:t>8</w:t>
      </w:r>
    </w:p>
    <w:p w:rsidR="004C4A11" w:rsidRDefault="004C4A11"/>
    <w:p w:rsidR="004C4A11" w:rsidRDefault="004C4A11">
      <w:r>
        <w:t>Note:  This issue is tremendously more complicated than the two variables present here.  This is only a partial look at the issue and there is ample room for debate as causes of the issues at hand.</w:t>
      </w:r>
    </w:p>
    <w:p w:rsidR="004C4A11" w:rsidRDefault="004C4A11"/>
    <w:p w:rsidR="004C4A11" w:rsidRDefault="004C4A11">
      <w:r>
        <w:t>1)  Examining the Relationships</w:t>
      </w:r>
    </w:p>
    <w:p w:rsidR="004C4A11" w:rsidRDefault="004C4A11">
      <w:r>
        <w:tab/>
        <w:t>Create and copy in the following Charts</w:t>
      </w:r>
    </w:p>
    <w:p w:rsidR="004C4A11" w:rsidRDefault="004C4A11" w:rsidP="00FC1FD4">
      <w:pPr>
        <w:pStyle w:val="ListParagraph"/>
        <w:numPr>
          <w:ilvl w:val="0"/>
          <w:numId w:val="1"/>
        </w:numPr>
      </w:pPr>
      <w:r>
        <w:t>Line Chart with “Year”, “Top Bracket %”, and “Debt (Relative to 1946)”</w:t>
      </w:r>
    </w:p>
    <w:p w:rsidR="00FC1FD4" w:rsidRDefault="00FC1FD4" w:rsidP="00FC1FD4">
      <w:pPr>
        <w:pStyle w:val="ListParagraph"/>
        <w:ind w:left="1800"/>
      </w:pPr>
      <w:r w:rsidRPr="00FC1FD4">
        <w:drawing>
          <wp:inline distT="0" distB="0" distL="0" distR="0">
            <wp:extent cx="4572000" cy="2743200"/>
            <wp:effectExtent l="19050" t="0" r="1905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4C4A11" w:rsidRDefault="004C4A11" w:rsidP="00FC1FD4">
      <w:pPr>
        <w:pStyle w:val="ListParagraph"/>
        <w:numPr>
          <w:ilvl w:val="0"/>
          <w:numId w:val="1"/>
        </w:numPr>
      </w:pPr>
      <w:proofErr w:type="spellStart"/>
      <w:r>
        <w:t>Scatterplot</w:t>
      </w:r>
      <w:proofErr w:type="spellEnd"/>
      <w:r>
        <w:t xml:space="preserve"> with “Year” and “Top Bracket %</w:t>
      </w:r>
      <w:r w:rsidR="002A33CF">
        <w:t xml:space="preserve">,” </w:t>
      </w:r>
      <w:r>
        <w:t xml:space="preserve">choose “Show </w:t>
      </w:r>
      <w:proofErr w:type="spellStart"/>
      <w:r>
        <w:t>Trendline</w:t>
      </w:r>
      <w:proofErr w:type="spellEnd"/>
      <w:r>
        <w:t>”</w:t>
      </w:r>
    </w:p>
    <w:p w:rsidR="00FC1FD4" w:rsidRDefault="00FC1FD4" w:rsidP="00FC1FD4">
      <w:pPr>
        <w:pStyle w:val="ListParagraph"/>
        <w:ind w:left="1800"/>
      </w:pPr>
      <w:r w:rsidRPr="00FC1FD4">
        <w:lastRenderedPageBreak/>
        <w:drawing>
          <wp:inline distT="0" distB="0" distL="0" distR="0">
            <wp:extent cx="4572000" cy="2743200"/>
            <wp:effectExtent l="19050" t="0" r="19050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C4A11" w:rsidRDefault="004C4A11" w:rsidP="00FC1FD4">
      <w:pPr>
        <w:pStyle w:val="ListParagraph"/>
        <w:numPr>
          <w:ilvl w:val="0"/>
          <w:numId w:val="1"/>
        </w:numPr>
      </w:pPr>
      <w:proofErr w:type="spellStart"/>
      <w:r>
        <w:t>Scatterplot</w:t>
      </w:r>
      <w:proofErr w:type="spellEnd"/>
      <w:r>
        <w:t xml:space="preserve"> with “Year” and “National Debt (Trillions)</w:t>
      </w:r>
      <w:r w:rsidR="002A33CF">
        <w:t>,</w:t>
      </w:r>
      <w:r>
        <w:t xml:space="preserve">” choose “Show </w:t>
      </w:r>
      <w:proofErr w:type="spellStart"/>
      <w:r>
        <w:t>Trendline</w:t>
      </w:r>
      <w:proofErr w:type="spellEnd"/>
      <w:r>
        <w:t>”</w:t>
      </w:r>
    </w:p>
    <w:p w:rsidR="00FC1FD4" w:rsidRDefault="00FC1FD4" w:rsidP="00FC1FD4">
      <w:pPr>
        <w:pStyle w:val="ListParagraph"/>
        <w:ind w:left="1800"/>
      </w:pPr>
      <w:r w:rsidRPr="00FC1FD4">
        <w:drawing>
          <wp:inline distT="0" distB="0" distL="0" distR="0">
            <wp:extent cx="4572000" cy="2743200"/>
            <wp:effectExtent l="19050" t="0" r="19050" b="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4C4A11" w:rsidRPr="00FC1FD4" w:rsidRDefault="004C4A11" w:rsidP="00FC1FD4">
      <w:pPr>
        <w:pStyle w:val="ListParagraph"/>
        <w:numPr>
          <w:ilvl w:val="0"/>
          <w:numId w:val="2"/>
        </w:numPr>
      </w:pPr>
      <w:r w:rsidRPr="00FC1FD4">
        <w:t>What trends do you see over time?</w:t>
      </w:r>
    </w:p>
    <w:p w:rsidR="00FC1FD4" w:rsidRDefault="00FC1FD4" w:rsidP="00FC1FD4">
      <w:pPr>
        <w:pStyle w:val="ListParagraph"/>
        <w:ind w:left="1080"/>
        <w:rPr>
          <w:b/>
        </w:rPr>
      </w:pPr>
      <w:r>
        <w:rPr>
          <w:b/>
        </w:rPr>
        <w:t>The national debt increases over time.</w:t>
      </w:r>
    </w:p>
    <w:p w:rsidR="00FC1FD4" w:rsidRDefault="00FC1FD4" w:rsidP="00FC1FD4">
      <w:pPr>
        <w:pStyle w:val="ListParagraph"/>
        <w:ind w:left="1080"/>
        <w:rPr>
          <w:b/>
        </w:rPr>
      </w:pPr>
      <w:r>
        <w:rPr>
          <w:b/>
        </w:rPr>
        <w:t xml:space="preserve">Over time the top bracket decreases gradually </w:t>
      </w:r>
    </w:p>
    <w:p w:rsidR="00FC1FD4" w:rsidRDefault="00FC1FD4" w:rsidP="00FC1FD4">
      <w:pPr>
        <w:pStyle w:val="ListParagraph"/>
        <w:ind w:left="1080"/>
        <w:rPr>
          <w:b/>
        </w:rPr>
      </w:pPr>
      <w:r>
        <w:rPr>
          <w:b/>
        </w:rPr>
        <w:t xml:space="preserve">Debt relative slightly decreases over time </w:t>
      </w:r>
    </w:p>
    <w:p w:rsidR="00FC1FD4" w:rsidRPr="00FC1FD4" w:rsidRDefault="00FC1FD4" w:rsidP="00FC1FD4">
      <w:pPr>
        <w:pStyle w:val="ListParagraph"/>
        <w:ind w:left="1080"/>
        <w:rPr>
          <w:b/>
        </w:rPr>
      </w:pPr>
    </w:p>
    <w:p w:rsidR="004C4A11" w:rsidRDefault="004C4A11" w:rsidP="00FC1FD4">
      <w:pPr>
        <w:pStyle w:val="ListParagraph"/>
        <w:numPr>
          <w:ilvl w:val="0"/>
          <w:numId w:val="2"/>
        </w:numPr>
      </w:pPr>
      <w:r>
        <w:t xml:space="preserve">Do “Top Bracket %” and “National </w:t>
      </w:r>
      <w:proofErr w:type="gramStart"/>
      <w:r>
        <w:t>Debt(</w:t>
      </w:r>
      <w:proofErr w:type="gramEnd"/>
      <w:r>
        <w:t>Trillions)” appear associated?</w:t>
      </w:r>
    </w:p>
    <w:p w:rsidR="00FC1FD4" w:rsidRPr="0091568C" w:rsidRDefault="0091568C" w:rsidP="00FC1FD4">
      <w:pPr>
        <w:pStyle w:val="ListParagraph"/>
        <w:ind w:left="1080"/>
        <w:rPr>
          <w:b/>
        </w:rPr>
      </w:pPr>
      <w:r w:rsidRPr="0091568C">
        <w:rPr>
          <w:b/>
        </w:rPr>
        <w:t xml:space="preserve">There is an association between Top bracket and national debt, both decreases over time </w:t>
      </w:r>
    </w:p>
    <w:p w:rsidR="004C4A11" w:rsidRDefault="004C4A11" w:rsidP="0091568C">
      <w:pPr>
        <w:pStyle w:val="ListParagraph"/>
        <w:numPr>
          <w:ilvl w:val="0"/>
          <w:numId w:val="2"/>
        </w:numPr>
      </w:pPr>
      <w:r>
        <w:t xml:space="preserve">What might be </w:t>
      </w:r>
      <w:r w:rsidR="00F560DE">
        <w:t>some</w:t>
      </w:r>
      <w:r>
        <w:t xml:space="preserve"> possible </w:t>
      </w:r>
      <w:r w:rsidR="00F560DE">
        <w:t>third</w:t>
      </w:r>
      <w:r>
        <w:t xml:space="preserve"> factor</w:t>
      </w:r>
      <w:r w:rsidR="00F560DE">
        <w:t>s</w:t>
      </w:r>
      <w:r>
        <w:t>?</w:t>
      </w:r>
    </w:p>
    <w:p w:rsidR="0091568C" w:rsidRDefault="0091568C" w:rsidP="0091568C">
      <w:pPr>
        <w:pStyle w:val="ListParagraph"/>
        <w:ind w:left="1080"/>
      </w:pPr>
      <w:r>
        <w:t>Politics</w:t>
      </w:r>
    </w:p>
    <w:p w:rsidR="004C4A11" w:rsidRDefault="004C4A11">
      <w:r>
        <w:t>2)  Running Regressions</w:t>
      </w:r>
    </w:p>
    <w:p w:rsidR="00692819" w:rsidRPr="0091568C" w:rsidRDefault="00692819">
      <w:pPr>
        <w:rPr>
          <w:b/>
        </w:rPr>
      </w:pPr>
      <w:r>
        <w:tab/>
        <w:t>a</w:t>
      </w:r>
      <w:r w:rsidRPr="0091568C">
        <w:rPr>
          <w:b/>
        </w:rPr>
        <w:t xml:space="preserve">)  Use “Data-&gt;Data Analysis-&gt;Regression” with “Top Bracket” as the y variable and </w:t>
      </w:r>
    </w:p>
    <w:p w:rsidR="004C4A11" w:rsidRPr="0091568C" w:rsidRDefault="00692819" w:rsidP="0091568C">
      <w:pPr>
        <w:ind w:left="720" w:firstLine="720"/>
        <w:rPr>
          <w:b/>
        </w:rPr>
      </w:pPr>
      <w:r w:rsidRPr="0091568C">
        <w:rPr>
          <w:b/>
        </w:rPr>
        <w:t>“Year” as the x- variable</w:t>
      </w:r>
    </w:p>
    <w:p w:rsidR="00692819" w:rsidRDefault="00692819" w:rsidP="00692819">
      <w:pPr>
        <w:ind w:left="720" w:firstLine="720"/>
      </w:pPr>
      <w:r>
        <w:lastRenderedPageBreak/>
        <w:t>What is your model?  Slope t-value? R squared?</w:t>
      </w:r>
    </w:p>
    <w:p w:rsidR="00692819" w:rsidRDefault="0091568C" w:rsidP="00692819">
      <w:pPr>
        <w:rPr>
          <w:b/>
        </w:rPr>
      </w:pPr>
      <w:r w:rsidRPr="0091568C">
        <w:rPr>
          <w:b/>
        </w:rPr>
        <w:t xml:space="preserve">          Y=-0.99793X+2037.213</w:t>
      </w:r>
    </w:p>
    <w:p w:rsidR="0091568C" w:rsidRDefault="0091568C" w:rsidP="00692819">
      <w:pPr>
        <w:rPr>
          <w:b/>
        </w:rPr>
      </w:pPr>
      <w:r>
        <w:rPr>
          <w:b/>
        </w:rPr>
        <w:t xml:space="preserve">          R squared=0.854972</w:t>
      </w:r>
    </w:p>
    <w:p w:rsidR="0091568C" w:rsidRPr="0091568C" w:rsidRDefault="0091568C" w:rsidP="00692819">
      <w:pPr>
        <w:rPr>
          <w:b/>
        </w:rPr>
      </w:pPr>
      <w:r>
        <w:rPr>
          <w:b/>
        </w:rPr>
        <w:t xml:space="preserve">       Slope =-0.9973</w:t>
      </w:r>
    </w:p>
    <w:p w:rsidR="00692819" w:rsidRDefault="00692819" w:rsidP="00692819">
      <w:r>
        <w:tab/>
        <w:t xml:space="preserve">b)  Run a second regression with “National </w:t>
      </w:r>
      <w:proofErr w:type="gramStart"/>
      <w:r>
        <w:t>Debt(</w:t>
      </w:r>
      <w:proofErr w:type="gramEnd"/>
      <w:r>
        <w:t>Trillions)” as the y variable and</w:t>
      </w:r>
    </w:p>
    <w:p w:rsidR="00692819" w:rsidRDefault="00692819" w:rsidP="00692819">
      <w:r>
        <w:tab/>
      </w:r>
      <w:r>
        <w:tab/>
        <w:t>“Year” as the x-variable.</w:t>
      </w:r>
    </w:p>
    <w:p w:rsidR="00692819" w:rsidRDefault="00692819" w:rsidP="00692819">
      <w:pPr>
        <w:ind w:left="720" w:firstLine="720"/>
      </w:pPr>
      <w:r>
        <w:t xml:space="preserve">What is your model?  Slope t-value? </w:t>
      </w:r>
      <w:r w:rsidR="00F560DE">
        <w:t xml:space="preserve">R </w:t>
      </w:r>
      <w:r>
        <w:t>squared?</w:t>
      </w:r>
    </w:p>
    <w:p w:rsidR="0091568C" w:rsidRDefault="0091568C" w:rsidP="00692819">
      <w:pPr>
        <w:ind w:left="720" w:firstLine="720"/>
        <w:rPr>
          <w:b/>
        </w:rPr>
      </w:pPr>
      <w:r w:rsidRPr="0091568C">
        <w:rPr>
          <w:b/>
        </w:rPr>
        <w:t>Y=0.22932X-450.2</w:t>
      </w:r>
    </w:p>
    <w:p w:rsidR="0091568C" w:rsidRDefault="0091568C" w:rsidP="00692819">
      <w:pPr>
        <w:ind w:left="720" w:firstLine="720"/>
        <w:rPr>
          <w:b/>
        </w:rPr>
      </w:pPr>
      <w:r>
        <w:rPr>
          <w:b/>
        </w:rPr>
        <w:t>Slope=-0.9973</w:t>
      </w:r>
    </w:p>
    <w:p w:rsidR="0091568C" w:rsidRPr="0091568C" w:rsidRDefault="0091568C" w:rsidP="00692819">
      <w:pPr>
        <w:ind w:left="720" w:firstLine="720"/>
        <w:rPr>
          <w:b/>
        </w:rPr>
      </w:pPr>
      <w:r>
        <w:rPr>
          <w:b/>
        </w:rPr>
        <w:t xml:space="preserve"> R squared =0.70508</w:t>
      </w:r>
    </w:p>
    <w:p w:rsidR="00692819" w:rsidRDefault="00692819" w:rsidP="00692819">
      <w:pPr>
        <w:ind w:firstLine="720"/>
      </w:pPr>
      <w:r>
        <w:t xml:space="preserve">c)  Run a final regression with “National </w:t>
      </w:r>
      <w:proofErr w:type="gramStart"/>
      <w:r>
        <w:t>Debt(</w:t>
      </w:r>
      <w:proofErr w:type="gramEnd"/>
      <w:r>
        <w:t>Trillions)” as the y variable and</w:t>
      </w:r>
    </w:p>
    <w:p w:rsidR="00692819" w:rsidRDefault="00692819" w:rsidP="00692819">
      <w:r>
        <w:tab/>
      </w:r>
      <w:r>
        <w:tab/>
        <w:t>“Top Bracket %” as the x-variable</w:t>
      </w:r>
    </w:p>
    <w:p w:rsidR="00692819" w:rsidRDefault="00692819" w:rsidP="00692819">
      <w:pPr>
        <w:ind w:left="720" w:firstLine="720"/>
      </w:pPr>
      <w:r>
        <w:t>What is your model?  Slope t-value? R squared?</w:t>
      </w:r>
    </w:p>
    <w:p w:rsidR="0091568C" w:rsidRPr="0091568C" w:rsidRDefault="0091568C" w:rsidP="00692819">
      <w:pPr>
        <w:ind w:left="720" w:firstLine="720"/>
        <w:rPr>
          <w:b/>
        </w:rPr>
      </w:pPr>
      <w:r w:rsidRPr="0091568C">
        <w:rPr>
          <w:b/>
        </w:rPr>
        <w:t>Y=-0.16597X+14.5541</w:t>
      </w:r>
    </w:p>
    <w:p w:rsidR="0091568C" w:rsidRDefault="0091568C" w:rsidP="00692819">
      <w:pPr>
        <w:ind w:left="720" w:firstLine="720"/>
        <w:rPr>
          <w:b/>
        </w:rPr>
      </w:pPr>
      <w:r w:rsidRPr="0091568C">
        <w:rPr>
          <w:b/>
        </w:rPr>
        <w:t>R Squared=0.430173</w:t>
      </w:r>
    </w:p>
    <w:p w:rsidR="00857D4C" w:rsidRPr="0091568C" w:rsidRDefault="00857D4C" w:rsidP="00692819">
      <w:pPr>
        <w:ind w:left="720" w:firstLine="720"/>
        <w:rPr>
          <w:b/>
        </w:rPr>
      </w:pPr>
      <w:r>
        <w:rPr>
          <w:b/>
        </w:rPr>
        <w:t>Slope=-0.16597</w:t>
      </w:r>
    </w:p>
    <w:p w:rsidR="00692819" w:rsidRDefault="00692819" w:rsidP="00692819">
      <w:r>
        <w:tab/>
        <w:t>d)</w:t>
      </w:r>
      <w:r w:rsidR="00F560DE">
        <w:t xml:space="preserve">  What basic conclusions can one draw from this dataset?</w:t>
      </w:r>
    </w:p>
    <w:p w:rsidR="00692819" w:rsidRPr="00857D4C" w:rsidRDefault="00857D4C" w:rsidP="00692819">
      <w:pPr>
        <w:rPr>
          <w:b/>
        </w:rPr>
      </w:pPr>
      <w:r w:rsidRPr="00857D4C">
        <w:rPr>
          <w:b/>
        </w:rPr>
        <w:t xml:space="preserve">                 As the national debt increases over the year the top bracket decreases </w:t>
      </w:r>
    </w:p>
    <w:sectPr w:rsidR="00692819" w:rsidRPr="00857D4C" w:rsidSect="003039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9154B3"/>
    <w:multiLevelType w:val="hybridMultilevel"/>
    <w:tmpl w:val="E6782B84"/>
    <w:lvl w:ilvl="0" w:tplc="A28A1D5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76142FCA"/>
    <w:multiLevelType w:val="hybridMultilevel"/>
    <w:tmpl w:val="9F24A5B2"/>
    <w:lvl w:ilvl="0" w:tplc="E32229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C4A11"/>
    <w:rsid w:val="002A33CF"/>
    <w:rsid w:val="003039F5"/>
    <w:rsid w:val="004C4A11"/>
    <w:rsid w:val="00692819"/>
    <w:rsid w:val="00857D4C"/>
    <w:rsid w:val="008C396B"/>
    <w:rsid w:val="00911B1F"/>
    <w:rsid w:val="0091568C"/>
    <w:rsid w:val="00D84120"/>
    <w:rsid w:val="00F560DE"/>
    <w:rsid w:val="00FC1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9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1F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1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F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CONTROL\Documents\My%20Received%20Files\GRACE%20K\Chapter%2010%20Lab%20Data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CONTROL\Documents\My%20Received%20Files\GRACE%20K\Chapter%2010%20Lab%20Data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CONTROL\Documents\My%20Received%20Files\GRACE%20K\Chapter%2010%20Lab%20Data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GB"/>
  <c:chart>
    <c:plotArea>
      <c:layout/>
      <c:scatterChart>
        <c:scatterStyle val="smoothMarker"/>
        <c:ser>
          <c:idx val="0"/>
          <c:order val="0"/>
          <c:tx>
            <c:strRef>
              <c:f>'chart yr,bracket,debt relative'!$B$1</c:f>
              <c:strCache>
                <c:ptCount val="1"/>
                <c:pt idx="0">
                  <c:v>Top Bracket %</c:v>
                </c:pt>
              </c:strCache>
            </c:strRef>
          </c:tx>
          <c:marker>
            <c:symbol val="none"/>
          </c:marker>
          <c:xVal>
            <c:numRef>
              <c:f>'chart yr,bracket,debt relative'!$A$2:$A$74</c:f>
              <c:numCache>
                <c:formatCode>General</c:formatCode>
                <c:ptCount val="73"/>
                <c:pt idx="0">
                  <c:v>1946</c:v>
                </c:pt>
                <c:pt idx="1">
                  <c:v>1947</c:v>
                </c:pt>
                <c:pt idx="2">
                  <c:v>1948</c:v>
                </c:pt>
                <c:pt idx="3">
                  <c:v>1949</c:v>
                </c:pt>
                <c:pt idx="4">
                  <c:v>1950</c:v>
                </c:pt>
                <c:pt idx="5">
                  <c:v>1951</c:v>
                </c:pt>
                <c:pt idx="6">
                  <c:v>1952</c:v>
                </c:pt>
                <c:pt idx="7">
                  <c:v>1953</c:v>
                </c:pt>
                <c:pt idx="8">
                  <c:v>1954</c:v>
                </c:pt>
                <c:pt idx="9">
                  <c:v>1955</c:v>
                </c:pt>
                <c:pt idx="10">
                  <c:v>1956</c:v>
                </c:pt>
                <c:pt idx="11">
                  <c:v>1957</c:v>
                </c:pt>
                <c:pt idx="12">
                  <c:v>1958</c:v>
                </c:pt>
                <c:pt idx="13">
                  <c:v>1959</c:v>
                </c:pt>
                <c:pt idx="14">
                  <c:v>1960</c:v>
                </c:pt>
                <c:pt idx="15">
                  <c:v>1961</c:v>
                </c:pt>
                <c:pt idx="16">
                  <c:v>1962</c:v>
                </c:pt>
                <c:pt idx="17">
                  <c:v>1963</c:v>
                </c:pt>
                <c:pt idx="18">
                  <c:v>1964</c:v>
                </c:pt>
                <c:pt idx="19">
                  <c:v>1965</c:v>
                </c:pt>
                <c:pt idx="20">
                  <c:v>1966</c:v>
                </c:pt>
                <c:pt idx="21">
                  <c:v>1967</c:v>
                </c:pt>
                <c:pt idx="22">
                  <c:v>1968</c:v>
                </c:pt>
                <c:pt idx="23">
                  <c:v>1969</c:v>
                </c:pt>
                <c:pt idx="24">
                  <c:v>1970</c:v>
                </c:pt>
                <c:pt idx="25">
                  <c:v>1971</c:v>
                </c:pt>
                <c:pt idx="26">
                  <c:v>1972</c:v>
                </c:pt>
                <c:pt idx="27">
                  <c:v>1973</c:v>
                </c:pt>
                <c:pt idx="28">
                  <c:v>1974</c:v>
                </c:pt>
                <c:pt idx="29">
                  <c:v>1975</c:v>
                </c:pt>
                <c:pt idx="30">
                  <c:v>1976</c:v>
                </c:pt>
                <c:pt idx="31">
                  <c:v>1977</c:v>
                </c:pt>
                <c:pt idx="32">
                  <c:v>1978</c:v>
                </c:pt>
                <c:pt idx="33">
                  <c:v>1979</c:v>
                </c:pt>
                <c:pt idx="34">
                  <c:v>1980</c:v>
                </c:pt>
                <c:pt idx="35">
                  <c:v>1981</c:v>
                </c:pt>
                <c:pt idx="36">
                  <c:v>1982</c:v>
                </c:pt>
                <c:pt idx="37">
                  <c:v>1983</c:v>
                </c:pt>
                <c:pt idx="38">
                  <c:v>1984</c:v>
                </c:pt>
                <c:pt idx="39">
                  <c:v>1985</c:v>
                </c:pt>
                <c:pt idx="40">
                  <c:v>1986</c:v>
                </c:pt>
                <c:pt idx="41">
                  <c:v>1987</c:v>
                </c:pt>
                <c:pt idx="42">
                  <c:v>1988</c:v>
                </c:pt>
                <c:pt idx="43">
                  <c:v>1989</c:v>
                </c:pt>
                <c:pt idx="44">
                  <c:v>1990</c:v>
                </c:pt>
                <c:pt idx="45">
                  <c:v>1991</c:v>
                </c:pt>
                <c:pt idx="46">
                  <c:v>1992</c:v>
                </c:pt>
                <c:pt idx="47">
                  <c:v>1993</c:v>
                </c:pt>
                <c:pt idx="48">
                  <c:v>1994</c:v>
                </c:pt>
                <c:pt idx="49">
                  <c:v>1995</c:v>
                </c:pt>
                <c:pt idx="50">
                  <c:v>1996</c:v>
                </c:pt>
                <c:pt idx="51">
                  <c:v>1997</c:v>
                </c:pt>
                <c:pt idx="52">
                  <c:v>1998</c:v>
                </c:pt>
                <c:pt idx="53">
                  <c:v>1999</c:v>
                </c:pt>
                <c:pt idx="54">
                  <c:v>2000</c:v>
                </c:pt>
                <c:pt idx="55">
                  <c:v>2001</c:v>
                </c:pt>
                <c:pt idx="56">
                  <c:v>2002</c:v>
                </c:pt>
                <c:pt idx="57">
                  <c:v>2003</c:v>
                </c:pt>
                <c:pt idx="58">
                  <c:v>2004</c:v>
                </c:pt>
                <c:pt idx="59">
                  <c:v>2005</c:v>
                </c:pt>
                <c:pt idx="60">
                  <c:v>2006</c:v>
                </c:pt>
                <c:pt idx="61">
                  <c:v>2007</c:v>
                </c:pt>
                <c:pt idx="62">
                  <c:v>2008</c:v>
                </c:pt>
                <c:pt idx="63">
                  <c:v>2009</c:v>
                </c:pt>
                <c:pt idx="64">
                  <c:v>2010</c:v>
                </c:pt>
                <c:pt idx="65">
                  <c:v>2011</c:v>
                </c:pt>
                <c:pt idx="66">
                  <c:v>2012</c:v>
                </c:pt>
                <c:pt idx="67">
                  <c:v>2013</c:v>
                </c:pt>
                <c:pt idx="68">
                  <c:v>2014</c:v>
                </c:pt>
                <c:pt idx="69">
                  <c:v>2015</c:v>
                </c:pt>
                <c:pt idx="70">
                  <c:v>2016</c:v>
                </c:pt>
                <c:pt idx="71">
                  <c:v>2017</c:v>
                </c:pt>
                <c:pt idx="72">
                  <c:v>2018</c:v>
                </c:pt>
              </c:numCache>
            </c:numRef>
          </c:xVal>
          <c:yVal>
            <c:numRef>
              <c:f>'chart yr,bracket,debt relative'!$B$2:$B$74</c:f>
              <c:numCache>
                <c:formatCode>General</c:formatCode>
                <c:ptCount val="73"/>
                <c:pt idx="0">
                  <c:v>91</c:v>
                </c:pt>
                <c:pt idx="1">
                  <c:v>91</c:v>
                </c:pt>
                <c:pt idx="2">
                  <c:v>91</c:v>
                </c:pt>
                <c:pt idx="3">
                  <c:v>91</c:v>
                </c:pt>
                <c:pt idx="4">
                  <c:v>91</c:v>
                </c:pt>
                <c:pt idx="5">
                  <c:v>91</c:v>
                </c:pt>
                <c:pt idx="6">
                  <c:v>92</c:v>
                </c:pt>
                <c:pt idx="7">
                  <c:v>92</c:v>
                </c:pt>
                <c:pt idx="8">
                  <c:v>91</c:v>
                </c:pt>
                <c:pt idx="9">
                  <c:v>91</c:v>
                </c:pt>
                <c:pt idx="10">
                  <c:v>91</c:v>
                </c:pt>
                <c:pt idx="11">
                  <c:v>91</c:v>
                </c:pt>
                <c:pt idx="12">
                  <c:v>91</c:v>
                </c:pt>
                <c:pt idx="13">
                  <c:v>91</c:v>
                </c:pt>
                <c:pt idx="14">
                  <c:v>91</c:v>
                </c:pt>
                <c:pt idx="15">
                  <c:v>91</c:v>
                </c:pt>
                <c:pt idx="16">
                  <c:v>91</c:v>
                </c:pt>
                <c:pt idx="17">
                  <c:v>91</c:v>
                </c:pt>
                <c:pt idx="18">
                  <c:v>77</c:v>
                </c:pt>
                <c:pt idx="19">
                  <c:v>70</c:v>
                </c:pt>
                <c:pt idx="20">
                  <c:v>70</c:v>
                </c:pt>
                <c:pt idx="21">
                  <c:v>70</c:v>
                </c:pt>
                <c:pt idx="22">
                  <c:v>70</c:v>
                </c:pt>
                <c:pt idx="23">
                  <c:v>70</c:v>
                </c:pt>
                <c:pt idx="24">
                  <c:v>70</c:v>
                </c:pt>
                <c:pt idx="25">
                  <c:v>70</c:v>
                </c:pt>
                <c:pt idx="26">
                  <c:v>70</c:v>
                </c:pt>
                <c:pt idx="27">
                  <c:v>70</c:v>
                </c:pt>
                <c:pt idx="28">
                  <c:v>70</c:v>
                </c:pt>
                <c:pt idx="29">
                  <c:v>70</c:v>
                </c:pt>
                <c:pt idx="30">
                  <c:v>70</c:v>
                </c:pt>
                <c:pt idx="31">
                  <c:v>70</c:v>
                </c:pt>
                <c:pt idx="32">
                  <c:v>70</c:v>
                </c:pt>
                <c:pt idx="33">
                  <c:v>70</c:v>
                </c:pt>
                <c:pt idx="34">
                  <c:v>70</c:v>
                </c:pt>
                <c:pt idx="35">
                  <c:v>70</c:v>
                </c:pt>
                <c:pt idx="36">
                  <c:v>50</c:v>
                </c:pt>
                <c:pt idx="37">
                  <c:v>50</c:v>
                </c:pt>
                <c:pt idx="38">
                  <c:v>50</c:v>
                </c:pt>
                <c:pt idx="39">
                  <c:v>50</c:v>
                </c:pt>
                <c:pt idx="40">
                  <c:v>50</c:v>
                </c:pt>
                <c:pt idx="41">
                  <c:v>38.5</c:v>
                </c:pt>
                <c:pt idx="42">
                  <c:v>28.000000000000004</c:v>
                </c:pt>
                <c:pt idx="43">
                  <c:v>28.000000000000004</c:v>
                </c:pt>
                <c:pt idx="44">
                  <c:v>28.000000000000004</c:v>
                </c:pt>
                <c:pt idx="45">
                  <c:v>31</c:v>
                </c:pt>
                <c:pt idx="46">
                  <c:v>39.6</c:v>
                </c:pt>
                <c:pt idx="47">
                  <c:v>39.6</c:v>
                </c:pt>
                <c:pt idx="48">
                  <c:v>39.6</c:v>
                </c:pt>
                <c:pt idx="49">
                  <c:v>39.6</c:v>
                </c:pt>
                <c:pt idx="50">
                  <c:v>39.6</c:v>
                </c:pt>
                <c:pt idx="51">
                  <c:v>39.6</c:v>
                </c:pt>
                <c:pt idx="52">
                  <c:v>39.6</c:v>
                </c:pt>
                <c:pt idx="53">
                  <c:v>39.6</c:v>
                </c:pt>
                <c:pt idx="54">
                  <c:v>39.6</c:v>
                </c:pt>
                <c:pt idx="55">
                  <c:v>39.1</c:v>
                </c:pt>
                <c:pt idx="56">
                  <c:v>38.6</c:v>
                </c:pt>
                <c:pt idx="57">
                  <c:v>35</c:v>
                </c:pt>
                <c:pt idx="58">
                  <c:v>35</c:v>
                </c:pt>
                <c:pt idx="59">
                  <c:v>35</c:v>
                </c:pt>
                <c:pt idx="60">
                  <c:v>35</c:v>
                </c:pt>
                <c:pt idx="61">
                  <c:v>35</c:v>
                </c:pt>
                <c:pt idx="62">
                  <c:v>35</c:v>
                </c:pt>
                <c:pt idx="63">
                  <c:v>35</c:v>
                </c:pt>
                <c:pt idx="64">
                  <c:v>35</c:v>
                </c:pt>
                <c:pt idx="65">
                  <c:v>35</c:v>
                </c:pt>
                <c:pt idx="66">
                  <c:v>35</c:v>
                </c:pt>
                <c:pt idx="67">
                  <c:v>39.6</c:v>
                </c:pt>
                <c:pt idx="68">
                  <c:v>39.6</c:v>
                </c:pt>
                <c:pt idx="69">
                  <c:v>39.6</c:v>
                </c:pt>
                <c:pt idx="70">
                  <c:v>39.6</c:v>
                </c:pt>
                <c:pt idx="71">
                  <c:v>39.6</c:v>
                </c:pt>
                <c:pt idx="72">
                  <c:v>37</c:v>
                </c:pt>
              </c:numCache>
            </c:numRef>
          </c:yVal>
          <c:smooth val="1"/>
        </c:ser>
        <c:ser>
          <c:idx val="1"/>
          <c:order val="1"/>
          <c:tx>
            <c:strRef>
              <c:f>'chart yr,bracket,debt relative'!$C$1</c:f>
              <c:strCache>
                <c:ptCount val="1"/>
                <c:pt idx="0">
                  <c:v>Debt (Relative to 1946)</c:v>
                </c:pt>
              </c:strCache>
            </c:strRef>
          </c:tx>
          <c:marker>
            <c:symbol val="none"/>
          </c:marker>
          <c:xVal>
            <c:numRef>
              <c:f>'chart yr,bracket,debt relative'!$A$2:$A$74</c:f>
              <c:numCache>
                <c:formatCode>General</c:formatCode>
                <c:ptCount val="73"/>
                <c:pt idx="0">
                  <c:v>1946</c:v>
                </c:pt>
                <c:pt idx="1">
                  <c:v>1947</c:v>
                </c:pt>
                <c:pt idx="2">
                  <c:v>1948</c:v>
                </c:pt>
                <c:pt idx="3">
                  <c:v>1949</c:v>
                </c:pt>
                <c:pt idx="4">
                  <c:v>1950</c:v>
                </c:pt>
                <c:pt idx="5">
                  <c:v>1951</c:v>
                </c:pt>
                <c:pt idx="6">
                  <c:v>1952</c:v>
                </c:pt>
                <c:pt idx="7">
                  <c:v>1953</c:v>
                </c:pt>
                <c:pt idx="8">
                  <c:v>1954</c:v>
                </c:pt>
                <c:pt idx="9">
                  <c:v>1955</c:v>
                </c:pt>
                <c:pt idx="10">
                  <c:v>1956</c:v>
                </c:pt>
                <c:pt idx="11">
                  <c:v>1957</c:v>
                </c:pt>
                <c:pt idx="12">
                  <c:v>1958</c:v>
                </c:pt>
                <c:pt idx="13">
                  <c:v>1959</c:v>
                </c:pt>
                <c:pt idx="14">
                  <c:v>1960</c:v>
                </c:pt>
                <c:pt idx="15">
                  <c:v>1961</c:v>
                </c:pt>
                <c:pt idx="16">
                  <c:v>1962</c:v>
                </c:pt>
                <c:pt idx="17">
                  <c:v>1963</c:v>
                </c:pt>
                <c:pt idx="18">
                  <c:v>1964</c:v>
                </c:pt>
                <c:pt idx="19">
                  <c:v>1965</c:v>
                </c:pt>
                <c:pt idx="20">
                  <c:v>1966</c:v>
                </c:pt>
                <c:pt idx="21">
                  <c:v>1967</c:v>
                </c:pt>
                <c:pt idx="22">
                  <c:v>1968</c:v>
                </c:pt>
                <c:pt idx="23">
                  <c:v>1969</c:v>
                </c:pt>
                <c:pt idx="24">
                  <c:v>1970</c:v>
                </c:pt>
                <c:pt idx="25">
                  <c:v>1971</c:v>
                </c:pt>
                <c:pt idx="26">
                  <c:v>1972</c:v>
                </c:pt>
                <c:pt idx="27">
                  <c:v>1973</c:v>
                </c:pt>
                <c:pt idx="28">
                  <c:v>1974</c:v>
                </c:pt>
                <c:pt idx="29">
                  <c:v>1975</c:v>
                </c:pt>
                <c:pt idx="30">
                  <c:v>1976</c:v>
                </c:pt>
                <c:pt idx="31">
                  <c:v>1977</c:v>
                </c:pt>
                <c:pt idx="32">
                  <c:v>1978</c:v>
                </c:pt>
                <c:pt idx="33">
                  <c:v>1979</c:v>
                </c:pt>
                <c:pt idx="34">
                  <c:v>1980</c:v>
                </c:pt>
                <c:pt idx="35">
                  <c:v>1981</c:v>
                </c:pt>
                <c:pt idx="36">
                  <c:v>1982</c:v>
                </c:pt>
                <c:pt idx="37">
                  <c:v>1983</c:v>
                </c:pt>
                <c:pt idx="38">
                  <c:v>1984</c:v>
                </c:pt>
                <c:pt idx="39">
                  <c:v>1985</c:v>
                </c:pt>
                <c:pt idx="40">
                  <c:v>1986</c:v>
                </c:pt>
                <c:pt idx="41">
                  <c:v>1987</c:v>
                </c:pt>
                <c:pt idx="42">
                  <c:v>1988</c:v>
                </c:pt>
                <c:pt idx="43">
                  <c:v>1989</c:v>
                </c:pt>
                <c:pt idx="44">
                  <c:v>1990</c:v>
                </c:pt>
                <c:pt idx="45">
                  <c:v>1991</c:v>
                </c:pt>
                <c:pt idx="46">
                  <c:v>1992</c:v>
                </c:pt>
                <c:pt idx="47">
                  <c:v>1993</c:v>
                </c:pt>
                <c:pt idx="48">
                  <c:v>1994</c:v>
                </c:pt>
                <c:pt idx="49">
                  <c:v>1995</c:v>
                </c:pt>
                <c:pt idx="50">
                  <c:v>1996</c:v>
                </c:pt>
                <c:pt idx="51">
                  <c:v>1997</c:v>
                </c:pt>
                <c:pt idx="52">
                  <c:v>1998</c:v>
                </c:pt>
                <c:pt idx="53">
                  <c:v>1999</c:v>
                </c:pt>
                <c:pt idx="54">
                  <c:v>2000</c:v>
                </c:pt>
                <c:pt idx="55">
                  <c:v>2001</c:v>
                </c:pt>
                <c:pt idx="56">
                  <c:v>2002</c:v>
                </c:pt>
                <c:pt idx="57">
                  <c:v>2003</c:v>
                </c:pt>
                <c:pt idx="58">
                  <c:v>2004</c:v>
                </c:pt>
                <c:pt idx="59">
                  <c:v>2005</c:v>
                </c:pt>
                <c:pt idx="60">
                  <c:v>2006</c:v>
                </c:pt>
                <c:pt idx="61">
                  <c:v>2007</c:v>
                </c:pt>
                <c:pt idx="62">
                  <c:v>2008</c:v>
                </c:pt>
                <c:pt idx="63">
                  <c:v>2009</c:v>
                </c:pt>
                <c:pt idx="64">
                  <c:v>2010</c:v>
                </c:pt>
                <c:pt idx="65">
                  <c:v>2011</c:v>
                </c:pt>
                <c:pt idx="66">
                  <c:v>2012</c:v>
                </c:pt>
                <c:pt idx="67">
                  <c:v>2013</c:v>
                </c:pt>
                <c:pt idx="68">
                  <c:v>2014</c:v>
                </c:pt>
                <c:pt idx="69">
                  <c:v>2015</c:v>
                </c:pt>
                <c:pt idx="70">
                  <c:v>2016</c:v>
                </c:pt>
                <c:pt idx="71">
                  <c:v>2017</c:v>
                </c:pt>
                <c:pt idx="72">
                  <c:v>2018</c:v>
                </c:pt>
              </c:numCache>
            </c:numRef>
          </c:xVal>
          <c:yVal>
            <c:numRef>
              <c:f>'chart yr,bracket,debt relative'!$C$2:$C$74</c:f>
              <c:numCache>
                <c:formatCode>0.000</c:formatCode>
                <c:ptCount val="73"/>
                <c:pt idx="0">
                  <c:v>335.79335793357922</c:v>
                </c:pt>
                <c:pt idx="1">
                  <c:v>335.79335793357922</c:v>
                </c:pt>
                <c:pt idx="2">
                  <c:v>335.79335793357922</c:v>
                </c:pt>
                <c:pt idx="3">
                  <c:v>335.79335793357922</c:v>
                </c:pt>
                <c:pt idx="4">
                  <c:v>335.79335793357922</c:v>
                </c:pt>
                <c:pt idx="5">
                  <c:v>335.79335793357922</c:v>
                </c:pt>
                <c:pt idx="6">
                  <c:v>339.4833948339483</c:v>
                </c:pt>
                <c:pt idx="7">
                  <c:v>339.4833948339483</c:v>
                </c:pt>
                <c:pt idx="8">
                  <c:v>335.79335793357922</c:v>
                </c:pt>
                <c:pt idx="9">
                  <c:v>335.79335793357922</c:v>
                </c:pt>
                <c:pt idx="10">
                  <c:v>335.79335793357922</c:v>
                </c:pt>
                <c:pt idx="11">
                  <c:v>335.79335793357922</c:v>
                </c:pt>
                <c:pt idx="12">
                  <c:v>335.79335793357922</c:v>
                </c:pt>
                <c:pt idx="13">
                  <c:v>335.79335793357922</c:v>
                </c:pt>
                <c:pt idx="14">
                  <c:v>335.79335793357922</c:v>
                </c:pt>
                <c:pt idx="15">
                  <c:v>335.79335793357922</c:v>
                </c:pt>
                <c:pt idx="16">
                  <c:v>335.79335793357922</c:v>
                </c:pt>
                <c:pt idx="17">
                  <c:v>335.79335793357922</c:v>
                </c:pt>
                <c:pt idx="18">
                  <c:v>284.13284132841341</c:v>
                </c:pt>
                <c:pt idx="19">
                  <c:v>258.30258302583036</c:v>
                </c:pt>
                <c:pt idx="20">
                  <c:v>258.30258302583036</c:v>
                </c:pt>
                <c:pt idx="21">
                  <c:v>258.30258302583036</c:v>
                </c:pt>
                <c:pt idx="22">
                  <c:v>258.30258302583036</c:v>
                </c:pt>
                <c:pt idx="23">
                  <c:v>258.30258302583036</c:v>
                </c:pt>
                <c:pt idx="24">
                  <c:v>258.30258302583036</c:v>
                </c:pt>
                <c:pt idx="25">
                  <c:v>258.30258302583036</c:v>
                </c:pt>
                <c:pt idx="26">
                  <c:v>258.30258302583036</c:v>
                </c:pt>
                <c:pt idx="27">
                  <c:v>258.30258302583036</c:v>
                </c:pt>
                <c:pt idx="28">
                  <c:v>258.30258302583036</c:v>
                </c:pt>
                <c:pt idx="29">
                  <c:v>258.30258302583036</c:v>
                </c:pt>
                <c:pt idx="30">
                  <c:v>258.30258302583036</c:v>
                </c:pt>
                <c:pt idx="31">
                  <c:v>258.30258302583036</c:v>
                </c:pt>
                <c:pt idx="32">
                  <c:v>258.30258302583036</c:v>
                </c:pt>
                <c:pt idx="33">
                  <c:v>258.30258302583036</c:v>
                </c:pt>
                <c:pt idx="34">
                  <c:v>258.30258302583036</c:v>
                </c:pt>
                <c:pt idx="35">
                  <c:v>258.30258302583036</c:v>
                </c:pt>
                <c:pt idx="36">
                  <c:v>184.50184501845021</c:v>
                </c:pt>
                <c:pt idx="37">
                  <c:v>184.50184501845021</c:v>
                </c:pt>
                <c:pt idx="38">
                  <c:v>184.50184501845021</c:v>
                </c:pt>
                <c:pt idx="39">
                  <c:v>184.50184501845021</c:v>
                </c:pt>
                <c:pt idx="40">
                  <c:v>184.50184501845021</c:v>
                </c:pt>
                <c:pt idx="41">
                  <c:v>142.06642066420665</c:v>
                </c:pt>
                <c:pt idx="42">
                  <c:v>103.3210332103321</c:v>
                </c:pt>
                <c:pt idx="43">
                  <c:v>103.3210332103321</c:v>
                </c:pt>
                <c:pt idx="44">
                  <c:v>103.3210332103321</c:v>
                </c:pt>
                <c:pt idx="45">
                  <c:v>114.3911439114391</c:v>
                </c:pt>
                <c:pt idx="46">
                  <c:v>146.12546125461253</c:v>
                </c:pt>
                <c:pt idx="47">
                  <c:v>146.12546125461253</c:v>
                </c:pt>
                <c:pt idx="48">
                  <c:v>146.12546125461253</c:v>
                </c:pt>
                <c:pt idx="49">
                  <c:v>146.12546125461253</c:v>
                </c:pt>
                <c:pt idx="50">
                  <c:v>146.12546125461253</c:v>
                </c:pt>
                <c:pt idx="51">
                  <c:v>146.12546125461253</c:v>
                </c:pt>
                <c:pt idx="52">
                  <c:v>146.12546125461253</c:v>
                </c:pt>
                <c:pt idx="53">
                  <c:v>146.12546125461253</c:v>
                </c:pt>
                <c:pt idx="54">
                  <c:v>146.12546125461253</c:v>
                </c:pt>
                <c:pt idx="55">
                  <c:v>144.28044280442808</c:v>
                </c:pt>
                <c:pt idx="56">
                  <c:v>142.43542435424357</c:v>
                </c:pt>
                <c:pt idx="57">
                  <c:v>129.15129151291518</c:v>
                </c:pt>
                <c:pt idx="58">
                  <c:v>129.15129151291518</c:v>
                </c:pt>
                <c:pt idx="59">
                  <c:v>129.15129151291518</c:v>
                </c:pt>
                <c:pt idx="60">
                  <c:v>129.15129151291518</c:v>
                </c:pt>
                <c:pt idx="61">
                  <c:v>129.15129151291518</c:v>
                </c:pt>
                <c:pt idx="62">
                  <c:v>129.15129151291518</c:v>
                </c:pt>
                <c:pt idx="63">
                  <c:v>129.15129151291518</c:v>
                </c:pt>
                <c:pt idx="64">
                  <c:v>129.15129151291518</c:v>
                </c:pt>
                <c:pt idx="65">
                  <c:v>129.15129151291518</c:v>
                </c:pt>
                <c:pt idx="66">
                  <c:v>129.15129151291518</c:v>
                </c:pt>
                <c:pt idx="67">
                  <c:v>146.12546125461253</c:v>
                </c:pt>
                <c:pt idx="68">
                  <c:v>146.12546125461253</c:v>
                </c:pt>
                <c:pt idx="69">
                  <c:v>146.12546125461253</c:v>
                </c:pt>
                <c:pt idx="70">
                  <c:v>146.12546125461253</c:v>
                </c:pt>
                <c:pt idx="71">
                  <c:v>146.12546125461253</c:v>
                </c:pt>
                <c:pt idx="72">
                  <c:v>136.53136531365317</c:v>
                </c:pt>
              </c:numCache>
            </c:numRef>
          </c:yVal>
          <c:smooth val="1"/>
        </c:ser>
        <c:axId val="106113664"/>
        <c:axId val="106119936"/>
      </c:scatterChart>
      <c:valAx>
        <c:axId val="106113664"/>
        <c:scaling>
          <c:orientation val="minMax"/>
        </c:scaling>
        <c:axPos val="b"/>
        <c:numFmt formatCode="General" sourceLinked="1"/>
        <c:tickLblPos val="nextTo"/>
        <c:crossAx val="106119936"/>
        <c:crosses val="autoZero"/>
        <c:crossBetween val="midCat"/>
      </c:valAx>
      <c:valAx>
        <c:axId val="106119936"/>
        <c:scaling>
          <c:orientation val="minMax"/>
        </c:scaling>
        <c:axPos val="l"/>
        <c:majorGridlines/>
        <c:numFmt formatCode="General" sourceLinked="1"/>
        <c:tickLblPos val="nextTo"/>
        <c:crossAx val="106113664"/>
        <c:crosses val="autoZero"/>
        <c:crossBetween val="midCat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GB"/>
  <c:chart>
    <c:title/>
    <c:plotArea>
      <c:layout>
        <c:manualLayout>
          <c:layoutTarget val="inner"/>
          <c:xMode val="edge"/>
          <c:yMode val="edge"/>
          <c:x val="8.8849518810148687E-2"/>
          <c:y val="0.19480351414406533"/>
          <c:w val="0.6305616797900262"/>
          <c:h val="0.68921660834062359"/>
        </c:manualLayout>
      </c:layout>
      <c:scatterChart>
        <c:scatterStyle val="smoothMarker"/>
        <c:ser>
          <c:idx val="0"/>
          <c:order val="0"/>
          <c:tx>
            <c:strRef>
              <c:f>'chart yr,bracket '!$B$1</c:f>
              <c:strCache>
                <c:ptCount val="1"/>
                <c:pt idx="0">
                  <c:v>Top Bracket %</c:v>
                </c:pt>
              </c:strCache>
            </c:strRef>
          </c:tx>
          <c:marker>
            <c:symbol val="none"/>
          </c:marker>
          <c:trendline>
            <c:trendlineType val="linear"/>
          </c:trendline>
          <c:xVal>
            <c:numRef>
              <c:f>'chart yr,bracket '!$A$2:$A$74</c:f>
              <c:numCache>
                <c:formatCode>General</c:formatCode>
                <c:ptCount val="73"/>
                <c:pt idx="0">
                  <c:v>1946</c:v>
                </c:pt>
                <c:pt idx="1">
                  <c:v>1947</c:v>
                </c:pt>
                <c:pt idx="2">
                  <c:v>1948</c:v>
                </c:pt>
                <c:pt idx="3">
                  <c:v>1949</c:v>
                </c:pt>
                <c:pt idx="4">
                  <c:v>1950</c:v>
                </c:pt>
                <c:pt idx="5">
                  <c:v>1951</c:v>
                </c:pt>
                <c:pt idx="6">
                  <c:v>1952</c:v>
                </c:pt>
                <c:pt idx="7">
                  <c:v>1953</c:v>
                </c:pt>
                <c:pt idx="8">
                  <c:v>1954</c:v>
                </c:pt>
                <c:pt idx="9">
                  <c:v>1955</c:v>
                </c:pt>
                <c:pt idx="10">
                  <c:v>1956</c:v>
                </c:pt>
                <c:pt idx="11">
                  <c:v>1957</c:v>
                </c:pt>
                <c:pt idx="12">
                  <c:v>1958</c:v>
                </c:pt>
                <c:pt idx="13">
                  <c:v>1959</c:v>
                </c:pt>
                <c:pt idx="14">
                  <c:v>1960</c:v>
                </c:pt>
                <c:pt idx="15">
                  <c:v>1961</c:v>
                </c:pt>
                <c:pt idx="16">
                  <c:v>1962</c:v>
                </c:pt>
                <c:pt idx="17">
                  <c:v>1963</c:v>
                </c:pt>
                <c:pt idx="18">
                  <c:v>1964</c:v>
                </c:pt>
                <c:pt idx="19">
                  <c:v>1965</c:v>
                </c:pt>
                <c:pt idx="20">
                  <c:v>1966</c:v>
                </c:pt>
                <c:pt idx="21">
                  <c:v>1967</c:v>
                </c:pt>
                <c:pt idx="22">
                  <c:v>1968</c:v>
                </c:pt>
                <c:pt idx="23">
                  <c:v>1969</c:v>
                </c:pt>
                <c:pt idx="24">
                  <c:v>1970</c:v>
                </c:pt>
                <c:pt idx="25">
                  <c:v>1971</c:v>
                </c:pt>
                <c:pt idx="26">
                  <c:v>1972</c:v>
                </c:pt>
                <c:pt idx="27">
                  <c:v>1973</c:v>
                </c:pt>
                <c:pt idx="28">
                  <c:v>1974</c:v>
                </c:pt>
                <c:pt idx="29">
                  <c:v>1975</c:v>
                </c:pt>
                <c:pt idx="30">
                  <c:v>1976</c:v>
                </c:pt>
                <c:pt idx="31">
                  <c:v>1977</c:v>
                </c:pt>
                <c:pt idx="32">
                  <c:v>1978</c:v>
                </c:pt>
                <c:pt idx="33">
                  <c:v>1979</c:v>
                </c:pt>
                <c:pt idx="34">
                  <c:v>1980</c:v>
                </c:pt>
                <c:pt idx="35">
                  <c:v>1981</c:v>
                </c:pt>
                <c:pt idx="36">
                  <c:v>1982</c:v>
                </c:pt>
                <c:pt idx="37">
                  <c:v>1983</c:v>
                </c:pt>
                <c:pt idx="38">
                  <c:v>1984</c:v>
                </c:pt>
                <c:pt idx="39">
                  <c:v>1985</c:v>
                </c:pt>
                <c:pt idx="40">
                  <c:v>1986</c:v>
                </c:pt>
                <c:pt idx="41">
                  <c:v>1987</c:v>
                </c:pt>
                <c:pt idx="42">
                  <c:v>1988</c:v>
                </c:pt>
                <c:pt idx="43">
                  <c:v>1989</c:v>
                </c:pt>
                <c:pt idx="44">
                  <c:v>1990</c:v>
                </c:pt>
                <c:pt idx="45">
                  <c:v>1991</c:v>
                </c:pt>
                <c:pt idx="46">
                  <c:v>1992</c:v>
                </c:pt>
                <c:pt idx="47">
                  <c:v>1993</c:v>
                </c:pt>
                <c:pt idx="48">
                  <c:v>1994</c:v>
                </c:pt>
                <c:pt idx="49">
                  <c:v>1995</c:v>
                </c:pt>
                <c:pt idx="50">
                  <c:v>1996</c:v>
                </c:pt>
                <c:pt idx="51">
                  <c:v>1997</c:v>
                </c:pt>
                <c:pt idx="52">
                  <c:v>1998</c:v>
                </c:pt>
                <c:pt idx="53">
                  <c:v>1999</c:v>
                </c:pt>
                <c:pt idx="54">
                  <c:v>2000</c:v>
                </c:pt>
                <c:pt idx="55">
                  <c:v>2001</c:v>
                </c:pt>
                <c:pt idx="56">
                  <c:v>2002</c:v>
                </c:pt>
                <c:pt idx="57">
                  <c:v>2003</c:v>
                </c:pt>
                <c:pt idx="58">
                  <c:v>2004</c:v>
                </c:pt>
                <c:pt idx="59">
                  <c:v>2005</c:v>
                </c:pt>
                <c:pt idx="60">
                  <c:v>2006</c:v>
                </c:pt>
                <c:pt idx="61">
                  <c:v>2007</c:v>
                </c:pt>
                <c:pt idx="62">
                  <c:v>2008</c:v>
                </c:pt>
                <c:pt idx="63">
                  <c:v>2009</c:v>
                </c:pt>
                <c:pt idx="64">
                  <c:v>2010</c:v>
                </c:pt>
                <c:pt idx="65">
                  <c:v>2011</c:v>
                </c:pt>
                <c:pt idx="66">
                  <c:v>2012</c:v>
                </c:pt>
                <c:pt idx="67">
                  <c:v>2013</c:v>
                </c:pt>
                <c:pt idx="68">
                  <c:v>2014</c:v>
                </c:pt>
                <c:pt idx="69">
                  <c:v>2015</c:v>
                </c:pt>
                <c:pt idx="70">
                  <c:v>2016</c:v>
                </c:pt>
                <c:pt idx="71">
                  <c:v>2017</c:v>
                </c:pt>
                <c:pt idx="72">
                  <c:v>2018</c:v>
                </c:pt>
              </c:numCache>
            </c:numRef>
          </c:xVal>
          <c:yVal>
            <c:numRef>
              <c:f>'chart yr,bracket '!$B$2:$B$74</c:f>
              <c:numCache>
                <c:formatCode>General</c:formatCode>
                <c:ptCount val="73"/>
                <c:pt idx="0">
                  <c:v>91</c:v>
                </c:pt>
                <c:pt idx="1">
                  <c:v>91</c:v>
                </c:pt>
                <c:pt idx="2">
                  <c:v>91</c:v>
                </c:pt>
                <c:pt idx="3">
                  <c:v>91</c:v>
                </c:pt>
                <c:pt idx="4">
                  <c:v>91</c:v>
                </c:pt>
                <c:pt idx="5">
                  <c:v>91</c:v>
                </c:pt>
                <c:pt idx="6">
                  <c:v>92</c:v>
                </c:pt>
                <c:pt idx="7">
                  <c:v>92</c:v>
                </c:pt>
                <c:pt idx="8">
                  <c:v>91</c:v>
                </c:pt>
                <c:pt idx="9">
                  <c:v>91</c:v>
                </c:pt>
                <c:pt idx="10">
                  <c:v>91</c:v>
                </c:pt>
                <c:pt idx="11">
                  <c:v>91</c:v>
                </c:pt>
                <c:pt idx="12">
                  <c:v>91</c:v>
                </c:pt>
                <c:pt idx="13">
                  <c:v>91</c:v>
                </c:pt>
                <c:pt idx="14">
                  <c:v>91</c:v>
                </c:pt>
                <c:pt idx="15">
                  <c:v>91</c:v>
                </c:pt>
                <c:pt idx="16">
                  <c:v>91</c:v>
                </c:pt>
                <c:pt idx="17">
                  <c:v>91</c:v>
                </c:pt>
                <c:pt idx="18">
                  <c:v>77</c:v>
                </c:pt>
                <c:pt idx="19">
                  <c:v>70</c:v>
                </c:pt>
                <c:pt idx="20">
                  <c:v>70</c:v>
                </c:pt>
                <c:pt idx="21">
                  <c:v>70</c:v>
                </c:pt>
                <c:pt idx="22">
                  <c:v>70</c:v>
                </c:pt>
                <c:pt idx="23">
                  <c:v>70</c:v>
                </c:pt>
                <c:pt idx="24">
                  <c:v>70</c:v>
                </c:pt>
                <c:pt idx="25">
                  <c:v>70</c:v>
                </c:pt>
                <c:pt idx="26">
                  <c:v>70</c:v>
                </c:pt>
                <c:pt idx="27">
                  <c:v>70</c:v>
                </c:pt>
                <c:pt idx="28">
                  <c:v>70</c:v>
                </c:pt>
                <c:pt idx="29">
                  <c:v>70</c:v>
                </c:pt>
                <c:pt idx="30">
                  <c:v>70</c:v>
                </c:pt>
                <c:pt idx="31">
                  <c:v>70</c:v>
                </c:pt>
                <c:pt idx="32">
                  <c:v>70</c:v>
                </c:pt>
                <c:pt idx="33">
                  <c:v>70</c:v>
                </c:pt>
                <c:pt idx="34">
                  <c:v>70</c:v>
                </c:pt>
                <c:pt idx="35">
                  <c:v>70</c:v>
                </c:pt>
                <c:pt idx="36">
                  <c:v>50</c:v>
                </c:pt>
                <c:pt idx="37">
                  <c:v>50</c:v>
                </c:pt>
                <c:pt idx="38">
                  <c:v>50</c:v>
                </c:pt>
                <c:pt idx="39">
                  <c:v>50</c:v>
                </c:pt>
                <c:pt idx="40">
                  <c:v>50</c:v>
                </c:pt>
                <c:pt idx="41">
                  <c:v>38.5</c:v>
                </c:pt>
                <c:pt idx="42">
                  <c:v>28.000000000000004</c:v>
                </c:pt>
                <c:pt idx="43">
                  <c:v>28.000000000000004</c:v>
                </c:pt>
                <c:pt idx="44">
                  <c:v>28.000000000000004</c:v>
                </c:pt>
                <c:pt idx="45">
                  <c:v>31</c:v>
                </c:pt>
                <c:pt idx="46">
                  <c:v>39.6</c:v>
                </c:pt>
                <c:pt idx="47">
                  <c:v>39.6</c:v>
                </c:pt>
                <c:pt idx="48">
                  <c:v>39.6</c:v>
                </c:pt>
                <c:pt idx="49">
                  <c:v>39.6</c:v>
                </c:pt>
                <c:pt idx="50">
                  <c:v>39.6</c:v>
                </c:pt>
                <c:pt idx="51">
                  <c:v>39.6</c:v>
                </c:pt>
                <c:pt idx="52">
                  <c:v>39.6</c:v>
                </c:pt>
                <c:pt idx="53">
                  <c:v>39.6</c:v>
                </c:pt>
                <c:pt idx="54">
                  <c:v>39.6</c:v>
                </c:pt>
                <c:pt idx="55">
                  <c:v>39.1</c:v>
                </c:pt>
                <c:pt idx="56">
                  <c:v>38.6</c:v>
                </c:pt>
                <c:pt idx="57">
                  <c:v>35</c:v>
                </c:pt>
                <c:pt idx="58">
                  <c:v>35</c:v>
                </c:pt>
                <c:pt idx="59">
                  <c:v>35</c:v>
                </c:pt>
                <c:pt idx="60">
                  <c:v>35</c:v>
                </c:pt>
                <c:pt idx="61">
                  <c:v>35</c:v>
                </c:pt>
                <c:pt idx="62">
                  <c:v>35</c:v>
                </c:pt>
                <c:pt idx="63">
                  <c:v>35</c:v>
                </c:pt>
                <c:pt idx="64">
                  <c:v>35</c:v>
                </c:pt>
                <c:pt idx="65">
                  <c:v>35</c:v>
                </c:pt>
                <c:pt idx="66">
                  <c:v>35</c:v>
                </c:pt>
                <c:pt idx="67">
                  <c:v>39.6</c:v>
                </c:pt>
                <c:pt idx="68">
                  <c:v>39.6</c:v>
                </c:pt>
                <c:pt idx="69">
                  <c:v>39.6</c:v>
                </c:pt>
                <c:pt idx="70">
                  <c:v>39.6</c:v>
                </c:pt>
                <c:pt idx="71">
                  <c:v>39.6</c:v>
                </c:pt>
                <c:pt idx="72">
                  <c:v>37</c:v>
                </c:pt>
              </c:numCache>
            </c:numRef>
          </c:yVal>
          <c:smooth val="1"/>
        </c:ser>
        <c:axId val="106149376"/>
        <c:axId val="106157952"/>
      </c:scatterChart>
      <c:valAx>
        <c:axId val="106149376"/>
        <c:scaling>
          <c:orientation val="minMax"/>
        </c:scaling>
        <c:axPos val="b"/>
        <c:numFmt formatCode="General" sourceLinked="1"/>
        <c:tickLblPos val="nextTo"/>
        <c:crossAx val="106157952"/>
        <c:crosses val="autoZero"/>
        <c:crossBetween val="midCat"/>
      </c:valAx>
      <c:valAx>
        <c:axId val="106157952"/>
        <c:scaling>
          <c:orientation val="minMax"/>
        </c:scaling>
        <c:axPos val="l"/>
        <c:majorGridlines/>
        <c:numFmt formatCode="General" sourceLinked="1"/>
        <c:tickLblPos val="nextTo"/>
        <c:crossAx val="106149376"/>
        <c:crosses val="autoZero"/>
        <c:crossBetween val="midCat"/>
      </c:valAx>
    </c:plotArea>
    <c:legend>
      <c:legendPos val="r"/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GB"/>
  <c:chart>
    <c:title/>
    <c:plotArea>
      <c:layout/>
      <c:scatterChart>
        <c:scatterStyle val="smoothMarker"/>
        <c:ser>
          <c:idx val="0"/>
          <c:order val="0"/>
          <c:tx>
            <c:strRef>
              <c:f>'chart,yr,national debt '!$B$1</c:f>
              <c:strCache>
                <c:ptCount val="1"/>
                <c:pt idx="0">
                  <c:v>National Debt (Trillions)</c:v>
                </c:pt>
              </c:strCache>
            </c:strRef>
          </c:tx>
          <c:marker>
            <c:symbol val="none"/>
          </c:marker>
          <c:trendline>
            <c:trendlineType val="linear"/>
          </c:trendline>
          <c:xVal>
            <c:numRef>
              <c:f>'chart,yr,national debt '!$A$2:$A$74</c:f>
              <c:numCache>
                <c:formatCode>General</c:formatCode>
                <c:ptCount val="73"/>
                <c:pt idx="0">
                  <c:v>1946</c:v>
                </c:pt>
                <c:pt idx="1">
                  <c:v>1947</c:v>
                </c:pt>
                <c:pt idx="2">
                  <c:v>1948</c:v>
                </c:pt>
                <c:pt idx="3">
                  <c:v>1949</c:v>
                </c:pt>
                <c:pt idx="4">
                  <c:v>1950</c:v>
                </c:pt>
                <c:pt idx="5">
                  <c:v>1951</c:v>
                </c:pt>
                <c:pt idx="6">
                  <c:v>1952</c:v>
                </c:pt>
                <c:pt idx="7">
                  <c:v>1953</c:v>
                </c:pt>
                <c:pt idx="8">
                  <c:v>1954</c:v>
                </c:pt>
                <c:pt idx="9">
                  <c:v>1955</c:v>
                </c:pt>
                <c:pt idx="10">
                  <c:v>1956</c:v>
                </c:pt>
                <c:pt idx="11">
                  <c:v>1957</c:v>
                </c:pt>
                <c:pt idx="12">
                  <c:v>1958</c:v>
                </c:pt>
                <c:pt idx="13">
                  <c:v>1959</c:v>
                </c:pt>
                <c:pt idx="14">
                  <c:v>1960</c:v>
                </c:pt>
                <c:pt idx="15">
                  <c:v>1961</c:v>
                </c:pt>
                <c:pt idx="16">
                  <c:v>1962</c:v>
                </c:pt>
                <c:pt idx="17">
                  <c:v>1963</c:v>
                </c:pt>
                <c:pt idx="18">
                  <c:v>1964</c:v>
                </c:pt>
                <c:pt idx="19">
                  <c:v>1965</c:v>
                </c:pt>
                <c:pt idx="20">
                  <c:v>1966</c:v>
                </c:pt>
                <c:pt idx="21">
                  <c:v>1967</c:v>
                </c:pt>
                <c:pt idx="22">
                  <c:v>1968</c:v>
                </c:pt>
                <c:pt idx="23">
                  <c:v>1969</c:v>
                </c:pt>
                <c:pt idx="24">
                  <c:v>1970</c:v>
                </c:pt>
                <c:pt idx="25">
                  <c:v>1971</c:v>
                </c:pt>
                <c:pt idx="26">
                  <c:v>1972</c:v>
                </c:pt>
                <c:pt idx="27">
                  <c:v>1973</c:v>
                </c:pt>
                <c:pt idx="28">
                  <c:v>1974</c:v>
                </c:pt>
                <c:pt idx="29">
                  <c:v>1975</c:v>
                </c:pt>
                <c:pt idx="30">
                  <c:v>1976</c:v>
                </c:pt>
                <c:pt idx="31">
                  <c:v>1977</c:v>
                </c:pt>
                <c:pt idx="32">
                  <c:v>1978</c:v>
                </c:pt>
                <c:pt idx="33">
                  <c:v>1979</c:v>
                </c:pt>
                <c:pt idx="34">
                  <c:v>1980</c:v>
                </c:pt>
                <c:pt idx="35">
                  <c:v>1981</c:v>
                </c:pt>
                <c:pt idx="36">
                  <c:v>1982</c:v>
                </c:pt>
                <c:pt idx="37">
                  <c:v>1983</c:v>
                </c:pt>
                <c:pt idx="38">
                  <c:v>1984</c:v>
                </c:pt>
                <c:pt idx="39">
                  <c:v>1985</c:v>
                </c:pt>
                <c:pt idx="40">
                  <c:v>1986</c:v>
                </c:pt>
                <c:pt idx="41">
                  <c:v>1987</c:v>
                </c:pt>
                <c:pt idx="42">
                  <c:v>1988</c:v>
                </c:pt>
                <c:pt idx="43">
                  <c:v>1989</c:v>
                </c:pt>
                <c:pt idx="44">
                  <c:v>1990</c:v>
                </c:pt>
                <c:pt idx="45">
                  <c:v>1991</c:v>
                </c:pt>
                <c:pt idx="46">
                  <c:v>1992</c:v>
                </c:pt>
                <c:pt idx="47">
                  <c:v>1993</c:v>
                </c:pt>
                <c:pt idx="48">
                  <c:v>1994</c:v>
                </c:pt>
                <c:pt idx="49">
                  <c:v>1995</c:v>
                </c:pt>
                <c:pt idx="50">
                  <c:v>1996</c:v>
                </c:pt>
                <c:pt idx="51">
                  <c:v>1997</c:v>
                </c:pt>
                <c:pt idx="52">
                  <c:v>1998</c:v>
                </c:pt>
                <c:pt idx="53">
                  <c:v>1999</c:v>
                </c:pt>
                <c:pt idx="54">
                  <c:v>2000</c:v>
                </c:pt>
                <c:pt idx="55">
                  <c:v>2001</c:v>
                </c:pt>
                <c:pt idx="56">
                  <c:v>2002</c:v>
                </c:pt>
                <c:pt idx="57">
                  <c:v>2003</c:v>
                </c:pt>
                <c:pt idx="58">
                  <c:v>2004</c:v>
                </c:pt>
                <c:pt idx="59">
                  <c:v>2005</c:v>
                </c:pt>
                <c:pt idx="60">
                  <c:v>2006</c:v>
                </c:pt>
                <c:pt idx="61">
                  <c:v>2007</c:v>
                </c:pt>
                <c:pt idx="62">
                  <c:v>2008</c:v>
                </c:pt>
                <c:pt idx="63">
                  <c:v>2009</c:v>
                </c:pt>
                <c:pt idx="64">
                  <c:v>2010</c:v>
                </c:pt>
                <c:pt idx="65">
                  <c:v>2011</c:v>
                </c:pt>
                <c:pt idx="66">
                  <c:v>2012</c:v>
                </c:pt>
                <c:pt idx="67">
                  <c:v>2013</c:v>
                </c:pt>
                <c:pt idx="68">
                  <c:v>2014</c:v>
                </c:pt>
                <c:pt idx="69">
                  <c:v>2015</c:v>
                </c:pt>
                <c:pt idx="70">
                  <c:v>2016</c:v>
                </c:pt>
                <c:pt idx="71">
                  <c:v>2017</c:v>
                </c:pt>
                <c:pt idx="72">
                  <c:v>2018</c:v>
                </c:pt>
              </c:numCache>
            </c:numRef>
          </c:xVal>
          <c:yVal>
            <c:numRef>
              <c:f>'chart,yr,national debt '!$B$2:$B$74</c:f>
              <c:numCache>
                <c:formatCode>0.000</c:formatCode>
                <c:ptCount val="73"/>
                <c:pt idx="0">
                  <c:v>0.27100000000000002</c:v>
                </c:pt>
                <c:pt idx="1">
                  <c:v>0.25700000000000001</c:v>
                </c:pt>
                <c:pt idx="2">
                  <c:v>0.252</c:v>
                </c:pt>
                <c:pt idx="3">
                  <c:v>0.253</c:v>
                </c:pt>
                <c:pt idx="4">
                  <c:v>0.25700000000000001</c:v>
                </c:pt>
                <c:pt idx="5">
                  <c:v>0.255</c:v>
                </c:pt>
                <c:pt idx="6">
                  <c:v>0.25900000000000001</c:v>
                </c:pt>
                <c:pt idx="7">
                  <c:v>0.26600000000000001</c:v>
                </c:pt>
                <c:pt idx="8">
                  <c:v>0.27100000000000002</c:v>
                </c:pt>
                <c:pt idx="9">
                  <c:v>0.27400000000000002</c:v>
                </c:pt>
                <c:pt idx="10">
                  <c:v>0.27300000000000002</c:v>
                </c:pt>
                <c:pt idx="11">
                  <c:v>0.27100000000000002</c:v>
                </c:pt>
                <c:pt idx="12">
                  <c:v>0.27600000000000002</c:v>
                </c:pt>
                <c:pt idx="13">
                  <c:v>0.28500000000000003</c:v>
                </c:pt>
                <c:pt idx="14">
                  <c:v>0.28600000000000003</c:v>
                </c:pt>
                <c:pt idx="15">
                  <c:v>0.28900000000000003</c:v>
                </c:pt>
                <c:pt idx="16">
                  <c:v>0.2980000000000001</c:v>
                </c:pt>
                <c:pt idx="17">
                  <c:v>0.30600000000000011</c:v>
                </c:pt>
                <c:pt idx="18">
                  <c:v>0.31200000000000006</c:v>
                </c:pt>
                <c:pt idx="19">
                  <c:v>0.31700000000000006</c:v>
                </c:pt>
                <c:pt idx="20">
                  <c:v>0.32000000000000006</c:v>
                </c:pt>
                <c:pt idx="21">
                  <c:v>0.32600000000000007</c:v>
                </c:pt>
                <c:pt idx="22">
                  <c:v>0.34800000000000003</c:v>
                </c:pt>
                <c:pt idx="23">
                  <c:v>0.35400000000000004</c:v>
                </c:pt>
                <c:pt idx="24">
                  <c:v>0.37100000000000005</c:v>
                </c:pt>
                <c:pt idx="25">
                  <c:v>0.39800000000000008</c:v>
                </c:pt>
                <c:pt idx="26">
                  <c:v>0.4270000000000001</c:v>
                </c:pt>
                <c:pt idx="27">
                  <c:v>0.45800000000000002</c:v>
                </c:pt>
                <c:pt idx="28">
                  <c:v>0.47500000000000003</c:v>
                </c:pt>
                <c:pt idx="29">
                  <c:v>0.53300000000000003</c:v>
                </c:pt>
                <c:pt idx="30">
                  <c:v>0.62000000000000011</c:v>
                </c:pt>
                <c:pt idx="31">
                  <c:v>0.69899999999999995</c:v>
                </c:pt>
                <c:pt idx="32">
                  <c:v>0.77200000000000013</c:v>
                </c:pt>
                <c:pt idx="33">
                  <c:v>0.82700000000000007</c:v>
                </c:pt>
                <c:pt idx="34">
                  <c:v>0.90800000000000003</c:v>
                </c:pt>
                <c:pt idx="35">
                  <c:v>0.998</c:v>
                </c:pt>
                <c:pt idx="36">
                  <c:v>1.1419999999999997</c:v>
                </c:pt>
                <c:pt idx="37">
                  <c:v>1.377</c:v>
                </c:pt>
                <c:pt idx="38">
                  <c:v>1.5720000000000001</c:v>
                </c:pt>
                <c:pt idx="39">
                  <c:v>1.823</c:v>
                </c:pt>
                <c:pt idx="40">
                  <c:v>2.125</c:v>
                </c:pt>
                <c:pt idx="41">
                  <c:v>2.34</c:v>
                </c:pt>
                <c:pt idx="42">
                  <c:v>2.6019999999999999</c:v>
                </c:pt>
                <c:pt idx="43">
                  <c:v>2.8569999999999998</c:v>
                </c:pt>
                <c:pt idx="44">
                  <c:v>3.2330000000000001</c:v>
                </c:pt>
                <c:pt idx="45">
                  <c:v>3.665</c:v>
                </c:pt>
                <c:pt idx="46">
                  <c:v>4.0649999999999995</c:v>
                </c:pt>
                <c:pt idx="47">
                  <c:v>4.4109999999999996</c:v>
                </c:pt>
                <c:pt idx="48">
                  <c:v>4.6929999999999987</c:v>
                </c:pt>
                <c:pt idx="49">
                  <c:v>4.9740000000000002</c:v>
                </c:pt>
                <c:pt idx="50">
                  <c:v>5.2249999999999988</c:v>
                </c:pt>
                <c:pt idx="51">
                  <c:v>5.4130000000000003</c:v>
                </c:pt>
                <c:pt idx="52">
                  <c:v>5.5259999999999989</c:v>
                </c:pt>
                <c:pt idx="53">
                  <c:v>5.6559999999999988</c:v>
                </c:pt>
                <c:pt idx="54">
                  <c:v>5.6739999999999995</c:v>
                </c:pt>
                <c:pt idx="55">
                  <c:v>5.8069999999999995</c:v>
                </c:pt>
                <c:pt idx="56">
                  <c:v>6.2279999999999989</c:v>
                </c:pt>
                <c:pt idx="57">
                  <c:v>6.7830000000000004</c:v>
                </c:pt>
                <c:pt idx="58">
                  <c:v>7.3789999999999996</c:v>
                </c:pt>
                <c:pt idx="59">
                  <c:v>7.9329999999999998</c:v>
                </c:pt>
                <c:pt idx="60">
                  <c:v>8.5070000000000014</c:v>
                </c:pt>
                <c:pt idx="61">
                  <c:v>9.0080000000000009</c:v>
                </c:pt>
                <c:pt idx="62">
                  <c:v>10.025</c:v>
                </c:pt>
                <c:pt idx="63">
                  <c:v>11.91</c:v>
                </c:pt>
                <c:pt idx="64">
                  <c:v>13.562000000000001</c:v>
                </c:pt>
                <c:pt idx="65">
                  <c:v>14.79</c:v>
                </c:pt>
                <c:pt idx="66">
                  <c:v>16.065999999999995</c:v>
                </c:pt>
                <c:pt idx="67">
                  <c:v>16.738</c:v>
                </c:pt>
                <c:pt idx="68">
                  <c:v>17.824000000000005</c:v>
                </c:pt>
                <c:pt idx="69">
                  <c:v>18.151000000000003</c:v>
                </c:pt>
                <c:pt idx="70">
                  <c:v>19.573</c:v>
                </c:pt>
                <c:pt idx="71" formatCode="General">
                  <c:v>20.244</c:v>
                </c:pt>
                <c:pt idx="72" formatCode="General">
                  <c:v>21.515999999999995</c:v>
                </c:pt>
              </c:numCache>
            </c:numRef>
          </c:yVal>
          <c:smooth val="1"/>
        </c:ser>
        <c:axId val="107213184"/>
        <c:axId val="107215488"/>
      </c:scatterChart>
      <c:valAx>
        <c:axId val="107213184"/>
        <c:scaling>
          <c:orientation val="minMax"/>
        </c:scaling>
        <c:axPos val="b"/>
        <c:numFmt formatCode="General" sourceLinked="1"/>
        <c:tickLblPos val="nextTo"/>
        <c:crossAx val="107215488"/>
        <c:crosses val="autoZero"/>
        <c:crossBetween val="midCat"/>
      </c:valAx>
      <c:valAx>
        <c:axId val="107215488"/>
        <c:scaling>
          <c:orientation val="minMax"/>
        </c:scaling>
        <c:axPos val="l"/>
        <c:majorGridlines/>
        <c:numFmt formatCode="0.000" sourceLinked="1"/>
        <c:tickLblPos val="nextTo"/>
        <c:crossAx val="107213184"/>
        <c:crosses val="autoZero"/>
        <c:crossBetween val="midCat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LaForge</dc:creator>
  <cp:keywords/>
  <dc:description/>
  <cp:lastModifiedBy>MONICA</cp:lastModifiedBy>
  <cp:revision>3</cp:revision>
  <dcterms:created xsi:type="dcterms:W3CDTF">2020-04-08T15:35:00Z</dcterms:created>
  <dcterms:modified xsi:type="dcterms:W3CDTF">2020-04-21T15:09:00Z</dcterms:modified>
</cp:coreProperties>
</file>